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commensurate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NLADA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recidivism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overburdened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 Greene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 Bradford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Ep15 Pretrial with Spike (Completed  06/15/22)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bVO7CYz27i_bvTSxuwC76Blapa-We4a1KzPkN5mU6sg4ohDJUV-bxqDXPohWXmbIHPEy3B4GELU5cT8Cdhh-oXUf4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